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966FE" w14:textId="77777777" w:rsidR="00F1660F" w:rsidRPr="00AF7879" w:rsidRDefault="00F1660F" w:rsidP="00CF6B0F">
      <w:pPr>
        <w:jc w:val="both"/>
        <w:rPr>
          <w:rFonts w:ascii="Calibri" w:eastAsia="Times New Roman" w:hAnsi="Calibri" w:cs="Calibri"/>
          <w:lang w:eastAsia="tr-TR"/>
          <w14:ligatures w14:val="none"/>
        </w:rPr>
      </w:pPr>
    </w:p>
    <w:p w14:paraId="66491F9C" w14:textId="7056191C" w:rsidR="00371137" w:rsidRPr="00AF7879" w:rsidRDefault="00594F79" w:rsidP="00CF6B0F">
      <w:pPr>
        <w:jc w:val="both"/>
        <w:rPr>
          <w:rFonts w:ascii="Calibri" w:eastAsia="Times New Roman" w:hAnsi="Calibri" w:cs="Calibri"/>
          <w:lang w:eastAsia="tr-TR"/>
          <w14:ligatures w14:val="none"/>
        </w:rPr>
      </w:pPr>
      <w:r w:rsidRPr="00594F79">
        <w:rPr>
          <w:rFonts w:ascii="Calibri" w:eastAsia="Times New Roman" w:hAnsi="Calibri" w:cs="Calibri"/>
          <w:b/>
          <w:bCs/>
          <w:lang w:eastAsia="tr-TR"/>
          <w14:ligatures w14:val="none"/>
        </w:rPr>
        <w:t>Sözcü:</w:t>
      </w:r>
      <w:r>
        <w:rPr>
          <w:rFonts w:ascii="Calibri" w:eastAsia="Times New Roman" w:hAnsi="Calibri" w:cs="Calibri"/>
          <w:lang w:eastAsia="tr-TR"/>
          <w14:ligatures w14:val="none"/>
        </w:rPr>
        <w:t xml:space="preserve"> </w:t>
      </w:r>
      <w:r w:rsidR="00371137" w:rsidRPr="00AF7879">
        <w:rPr>
          <w:rFonts w:ascii="Calibri" w:eastAsia="Times New Roman" w:hAnsi="Calibri" w:cs="Calibri"/>
          <w:lang w:eastAsia="tr-TR"/>
          <w14:ligatures w14:val="none"/>
        </w:rPr>
        <w:t xml:space="preserve">Aydem Enerji </w:t>
      </w:r>
      <w:r>
        <w:rPr>
          <w:rFonts w:ascii="Calibri" w:eastAsia="Times New Roman" w:hAnsi="Calibri" w:cs="Calibri"/>
          <w:lang w:eastAsia="tr-TR"/>
          <w14:ligatures w14:val="none"/>
        </w:rPr>
        <w:t>CEO’su Serdar Marangoz</w:t>
      </w:r>
    </w:p>
    <w:p w14:paraId="1E4E823C" w14:textId="72613414" w:rsidR="00371137" w:rsidRPr="00AF7879" w:rsidRDefault="00594F79" w:rsidP="00CF6B0F">
      <w:pPr>
        <w:jc w:val="both"/>
        <w:rPr>
          <w:rFonts w:ascii="Calibri" w:eastAsia="Times New Roman" w:hAnsi="Calibri" w:cs="Calibri"/>
          <w:lang w:eastAsia="tr-TR"/>
          <w14:ligatures w14:val="none"/>
        </w:rPr>
      </w:pPr>
      <w:r w:rsidRPr="00594F79">
        <w:rPr>
          <w:rFonts w:ascii="Calibri" w:eastAsia="Times New Roman" w:hAnsi="Calibri" w:cs="Calibri"/>
          <w:b/>
          <w:bCs/>
          <w:lang w:eastAsia="tr-TR"/>
          <w14:ligatures w14:val="none"/>
        </w:rPr>
        <w:t>Yayın:</w:t>
      </w:r>
      <w:r>
        <w:rPr>
          <w:rFonts w:ascii="Calibri" w:eastAsia="Times New Roman" w:hAnsi="Calibri" w:cs="Calibri"/>
          <w:lang w:eastAsia="tr-TR"/>
          <w14:ligatures w14:val="none"/>
        </w:rPr>
        <w:t xml:space="preserve"> </w:t>
      </w:r>
      <w:r w:rsidR="00841DDC" w:rsidRPr="00AF7879">
        <w:rPr>
          <w:rFonts w:ascii="Calibri" w:eastAsia="Times New Roman" w:hAnsi="Calibri" w:cs="Calibri"/>
          <w:lang w:eastAsia="tr-TR"/>
          <w14:ligatures w14:val="none"/>
        </w:rPr>
        <w:t>Hürriyet Gazetesi</w:t>
      </w:r>
    </w:p>
    <w:p w14:paraId="6B2FDED7" w14:textId="77777777" w:rsidR="00371137" w:rsidRPr="00AF7879" w:rsidRDefault="00371137" w:rsidP="00AF7879">
      <w:pPr>
        <w:pBdr>
          <w:bottom w:val="single" w:sz="6" w:space="1" w:color="auto"/>
        </w:pBdr>
        <w:jc w:val="both"/>
        <w:rPr>
          <w:rFonts w:ascii="Calibri" w:hAnsi="Calibri" w:cs="Calibri"/>
          <w:b/>
          <w:bCs/>
        </w:rPr>
      </w:pPr>
    </w:p>
    <w:p w14:paraId="2684C3EF" w14:textId="77777777" w:rsidR="00371137" w:rsidRPr="00AF7879" w:rsidRDefault="00371137" w:rsidP="00AF7879">
      <w:pPr>
        <w:jc w:val="both"/>
        <w:rPr>
          <w:rFonts w:ascii="Calibri" w:hAnsi="Calibri" w:cs="Calibri"/>
          <w:b/>
          <w:bCs/>
        </w:rPr>
      </w:pPr>
    </w:p>
    <w:p w14:paraId="052F5899" w14:textId="6D13FC72" w:rsidR="00327989" w:rsidRDefault="00327989" w:rsidP="00327989">
      <w:pPr>
        <w:pStyle w:val="NormalWeb"/>
        <w:jc w:val="both"/>
        <w:rPr>
          <w:rFonts w:ascii="Calibri" w:hAnsi="Calibri" w:cs="Calibri"/>
          <w:b/>
          <w:bCs/>
        </w:rPr>
      </w:pPr>
      <w:r>
        <w:rPr>
          <w:rFonts w:ascii="Calibri" w:hAnsi="Calibri" w:cs="Calibri"/>
          <w:b/>
          <w:bCs/>
        </w:rPr>
        <w:t>AYDEM ENERJİ’DEN 5 YILDA 3 MİLYAR DOLAR YATIRIM</w:t>
      </w:r>
    </w:p>
    <w:p w14:paraId="2F82AA23" w14:textId="3A08F86E" w:rsidR="00327989" w:rsidRPr="00327989" w:rsidRDefault="00327989" w:rsidP="00327989">
      <w:pPr>
        <w:pStyle w:val="NormalWeb"/>
        <w:jc w:val="both"/>
        <w:rPr>
          <w:rFonts w:ascii="Calibri" w:hAnsi="Calibri" w:cs="Calibri"/>
        </w:rPr>
      </w:pPr>
      <w:r w:rsidRPr="00327989">
        <w:rPr>
          <w:rFonts w:ascii="Calibri" w:hAnsi="Calibri" w:cs="Calibri"/>
          <w:b/>
          <w:bCs/>
        </w:rPr>
        <w:t>Elektrik dağıtımının Aydem Enerji’nin amiral gemisi olduğunu, üretimde ise büyümenin rotasını tamamen yenilenebilire çevirdiklerini söyleyen Aydem Enerji CEO’su Serdar Marangoz, “Dağıtım sektörüne önümüzdeki 5 yılda 2,5 milyar doların üzerinde yatırım yapmayı planlıyoruz. Üretimde ise önümüzdeki 3 yılda yaklaşık 700 milyon dolarlık yatırım ile 2 bin MW’ı yenilenebilir olmak üzere, toplamda 3 bin MW kurulu güce ulaşmayı hedefliyoruz” dedi.</w:t>
      </w:r>
    </w:p>
    <w:p w14:paraId="3816F106" w14:textId="77777777" w:rsidR="00327989" w:rsidRPr="00327989" w:rsidRDefault="00327989" w:rsidP="00327989">
      <w:pPr>
        <w:pStyle w:val="NormalWeb"/>
        <w:jc w:val="both"/>
        <w:rPr>
          <w:rFonts w:ascii="Calibri" w:hAnsi="Calibri" w:cs="Calibri"/>
        </w:rPr>
      </w:pPr>
      <w:r w:rsidRPr="00327989">
        <w:rPr>
          <w:rFonts w:ascii="Calibri" w:hAnsi="Calibri" w:cs="Calibri"/>
          <w:b/>
          <w:bCs/>
        </w:rPr>
        <w:t>Sizden Aydem Enerji ile ilgili genel bilgi ve rakamsal büyüklüklerini alabilir miyiz, 2025 yılı nasıl geçti, 2026 hedefleriniz neler?</w:t>
      </w:r>
    </w:p>
    <w:p w14:paraId="6329344A" w14:textId="77777777" w:rsidR="00327989" w:rsidRPr="00327989" w:rsidRDefault="00327989" w:rsidP="00327989">
      <w:pPr>
        <w:pStyle w:val="NormalWeb"/>
        <w:jc w:val="both"/>
        <w:rPr>
          <w:rFonts w:ascii="Calibri" w:hAnsi="Calibri" w:cs="Calibri"/>
        </w:rPr>
      </w:pPr>
      <w:r w:rsidRPr="00327989">
        <w:rPr>
          <w:rFonts w:ascii="Calibri" w:hAnsi="Calibri" w:cs="Calibri"/>
        </w:rPr>
        <w:t>Aydem Enerji olarak elektrik üretimi, dağıtımı ve perakende satışını tek çatı altında buluşturan entegre bir iş modeline sahibiz. 46 yıllık köklü geçmişimiz ve sektör deneyimimizle Türkiye’nin en büyük entegre enerji şirketlerinden biri konumundayız.</w:t>
      </w:r>
    </w:p>
    <w:p w14:paraId="3EC7F52B" w14:textId="77777777" w:rsidR="00327989" w:rsidRPr="00327989" w:rsidRDefault="00327989" w:rsidP="00327989">
      <w:pPr>
        <w:pStyle w:val="NormalWeb"/>
        <w:jc w:val="both"/>
        <w:rPr>
          <w:rFonts w:ascii="Calibri" w:hAnsi="Calibri" w:cs="Calibri"/>
        </w:rPr>
      </w:pPr>
      <w:r w:rsidRPr="00327989">
        <w:rPr>
          <w:rFonts w:ascii="Calibri" w:hAnsi="Calibri" w:cs="Calibri"/>
        </w:rPr>
        <w:t>Bugün grup bünyemizde 25’i yenilenebilir enerji kaynaklarına dayalı olmak üzere toplam 27 santralimiz bulunuyor. Su, rüzgâr, güneş ve yerli kömürden oluşan dengeli üretim portföyümüz sayesinde Türkiye’nin enerji ihtiyacına farklı kaynaklarla güvenilir bir şekilde katkı sağlıyoruz.</w:t>
      </w:r>
    </w:p>
    <w:p w14:paraId="181536E2" w14:textId="77777777" w:rsidR="00327989" w:rsidRPr="00327989" w:rsidRDefault="00327989" w:rsidP="00327989">
      <w:pPr>
        <w:pStyle w:val="NormalWeb"/>
        <w:jc w:val="both"/>
        <w:rPr>
          <w:rFonts w:ascii="Calibri" w:hAnsi="Calibri" w:cs="Calibri"/>
        </w:rPr>
      </w:pPr>
      <w:r w:rsidRPr="00327989">
        <w:rPr>
          <w:rFonts w:ascii="Calibri" w:hAnsi="Calibri" w:cs="Calibri"/>
        </w:rPr>
        <w:t>Grup şirketlerimizle birlikte bugün 2.181 MW kurulu güce sahibiz. Portföyümüz; 20 hidroelektrik, 3 rüzgâr, 1 jeotermal, 1 hibrit güneş enerjisi ve 2 yerli kömür santralinden oluşuyor. Yarısından fazlası yenilenebilir enerji kaynaklarına dayanan bu üretim yapımız ve çeşitlendirilmiş portföyümüzle Türkiye’nin toplam kurulu güç sıralamasında ilk 10 içerisinde yer alıyoruz. 2025 yılında kapasitemizi 18 MW artırdık ve bu kapsamda 16 milyon dolar yatırım yaptık. 2026 yılında yine kapasitemizi 18 MW artırırken aynı zamanda 800 MW gücündeki proje havuzumuzda yer alan projelerin olgunlaştırılması kapsamında 20 milyon dolarlık yatırım gerçekleştirdik. Önümüzdeki 3 yılda yaklaşık 700 milyon dolarlık yatırım ile yenilenebilir enerjide 2 bin MW olmak üzere, toplamda 3 bin MW kurulu güce ulaşmayı hedefliyoruz.</w:t>
      </w:r>
    </w:p>
    <w:p w14:paraId="00E741CA" w14:textId="77777777" w:rsidR="00327989" w:rsidRPr="00327989" w:rsidRDefault="00327989" w:rsidP="00327989">
      <w:pPr>
        <w:pStyle w:val="NormalWeb"/>
        <w:jc w:val="both"/>
        <w:rPr>
          <w:rFonts w:ascii="Calibri" w:hAnsi="Calibri" w:cs="Calibri"/>
        </w:rPr>
      </w:pPr>
      <w:r w:rsidRPr="00327989">
        <w:rPr>
          <w:rFonts w:ascii="Calibri" w:hAnsi="Calibri" w:cs="Calibri"/>
        </w:rPr>
        <w:t>Elektrik dağıtımı ise, grubumuzun amiral gemisi. Gdz Elektrik Dağıtım ve Adm Elektrik Dağıtım şirketlerimizle Aydın, Denizli, Muğla, İzmir ve Manisa’da 6,4 milyon müşterinin tüm altyapı yatırımlarını ve elektrik şebekesini işletiyoruz. Türkiye elektrik dağıtım sektörünün yüzde 12,3’ünü temsil ediyoruz. Dağıtım alanında 2025 yılında toplam 285 milyon dolar yatırım yaparken 50 milyon dolar da bakım ve iyileştirme faaliyetlerine harcadık. 2026 yılı bütçemize göre bu tutarlar yaklaşık 2 kat arttı. 2026 yılında dağıtım sektörüne 450 milyon dolar yatırım ve 100 milyon dolar bakım bütçesi ile girdik. Yıl sonunda bu rakamlara ulaşabileceğimizi öngörüyoruz. Son olarak dağıtım sektörüne önümüzdeki 5 yılda yaklaşık 2,5 milyar doların üzerinde yatırım yapmayı planlıyoruz.</w:t>
      </w:r>
    </w:p>
    <w:p w14:paraId="42D39303" w14:textId="77777777" w:rsidR="00327989" w:rsidRPr="00327989" w:rsidRDefault="00327989" w:rsidP="00327989">
      <w:pPr>
        <w:pStyle w:val="NormalWeb"/>
        <w:jc w:val="both"/>
        <w:rPr>
          <w:rFonts w:ascii="Calibri" w:hAnsi="Calibri" w:cs="Calibri"/>
        </w:rPr>
      </w:pPr>
      <w:r w:rsidRPr="00327989">
        <w:rPr>
          <w:rFonts w:ascii="Calibri" w:hAnsi="Calibri" w:cs="Calibri"/>
        </w:rPr>
        <w:t xml:space="preserve">Aydem Perakende ve Gediz Perakende şirketlerimizle 2025 yılında ülke çapında 5,6 milyon tüketim noktasında, 14 milyon insana hizmet vererek 24.380 MWh/yıl enerji tedariki sağladık. </w:t>
      </w:r>
      <w:r w:rsidRPr="00327989">
        <w:rPr>
          <w:rFonts w:ascii="Calibri" w:hAnsi="Calibri" w:cs="Calibri"/>
        </w:rPr>
        <w:lastRenderedPageBreak/>
        <w:t>2026 yılında ise tüketici sayımızı 5,8 milyona taşıdık. Bu yıl satış hacmimizi %3,7 artırıp 25.279 MWh/yıl enerji tedariki gerçekleştireceğimizi öngörüyoruz.</w:t>
      </w:r>
    </w:p>
    <w:p w14:paraId="49BBAF82" w14:textId="77777777" w:rsidR="00327989" w:rsidRPr="00327989" w:rsidRDefault="00327989" w:rsidP="00327989">
      <w:pPr>
        <w:pStyle w:val="NormalWeb"/>
        <w:jc w:val="both"/>
        <w:rPr>
          <w:rFonts w:ascii="Calibri" w:hAnsi="Calibri" w:cs="Calibri"/>
        </w:rPr>
      </w:pPr>
      <w:r w:rsidRPr="00327989">
        <w:rPr>
          <w:rFonts w:ascii="Calibri" w:hAnsi="Calibri" w:cs="Calibri"/>
        </w:rPr>
        <w:t>Özetle 2025 yılı, finansal piyasalardaki dalgalanmalar ve jeopolitik gelişmeler nedeniyle belirsizliklerin öne çıktığı bir dönem olsa da Aydem Enerji olarak biz hedeflerimize ulaşan güçlü bir performans sergiledik. Yıl sonu itibarıyla grup toplamında 3,5 milyar dolar ciroya, 1,2 milyar dolar (IFRS) FAVÖK’e ulaştık.</w:t>
      </w:r>
    </w:p>
    <w:p w14:paraId="4048F63A" w14:textId="77777777" w:rsidR="00327989" w:rsidRPr="00327989" w:rsidRDefault="00327989" w:rsidP="00327989">
      <w:pPr>
        <w:pStyle w:val="NormalWeb"/>
        <w:jc w:val="both"/>
        <w:rPr>
          <w:rFonts w:ascii="Calibri" w:hAnsi="Calibri" w:cs="Calibri"/>
        </w:rPr>
      </w:pPr>
      <w:r w:rsidRPr="00327989">
        <w:rPr>
          <w:rFonts w:ascii="Calibri" w:hAnsi="Calibri" w:cs="Calibri"/>
          <w:b/>
          <w:bCs/>
        </w:rPr>
        <w:t>YANGIN RİSKİNİ ÖNLEYİCİ ÇALIŞMALAR</w:t>
      </w:r>
    </w:p>
    <w:p w14:paraId="4A1AED68" w14:textId="77777777" w:rsidR="00327989" w:rsidRPr="00327989" w:rsidRDefault="00327989" w:rsidP="00327989">
      <w:pPr>
        <w:pStyle w:val="NormalWeb"/>
        <w:jc w:val="both"/>
        <w:rPr>
          <w:rFonts w:ascii="Calibri" w:hAnsi="Calibri" w:cs="Calibri"/>
        </w:rPr>
      </w:pPr>
      <w:r w:rsidRPr="00327989">
        <w:rPr>
          <w:rFonts w:ascii="Calibri" w:hAnsi="Calibri" w:cs="Calibri"/>
          <w:b/>
          <w:bCs/>
        </w:rPr>
        <w:t>Dağıtım şirketleri Gdz Elektrik Dağıtım ve Adm Elektrik Dağıtım aracılığı ile geniş bir kitleye hizmet veriyorsunuz. Bu bölgelerde ne tür yatırımlar yapıyorsunuz?</w:t>
      </w:r>
    </w:p>
    <w:p w14:paraId="06127C90" w14:textId="77777777" w:rsidR="00327989" w:rsidRPr="00327989" w:rsidRDefault="00327989" w:rsidP="00327989">
      <w:pPr>
        <w:pStyle w:val="NormalWeb"/>
        <w:jc w:val="both"/>
        <w:rPr>
          <w:rFonts w:ascii="Calibri" w:hAnsi="Calibri" w:cs="Calibri"/>
        </w:rPr>
      </w:pPr>
      <w:r w:rsidRPr="00327989">
        <w:rPr>
          <w:rFonts w:ascii="Calibri" w:hAnsi="Calibri" w:cs="Calibri"/>
        </w:rPr>
        <w:t>Yeni tarife döneminde en büyük odağımız kapasite artışı. Planladığımız yatırımların yüzde 60’ını, artan talebi kesintisiz ve güvenilir şekilde karşılayacak kapasite artışı projelerine yönlendireceğiz. Kalan yüzde 40’lık kısmı ise şebeke kontrol yatırımlarının geliştirilmesi, otomatik sayaç okuma ağının genişletilmesi gibi farklı alanlarda değerlendireceğiz.</w:t>
      </w:r>
    </w:p>
    <w:p w14:paraId="0E414242" w14:textId="77777777" w:rsidR="00327989" w:rsidRPr="00327989" w:rsidRDefault="00327989" w:rsidP="00327989">
      <w:pPr>
        <w:pStyle w:val="NormalWeb"/>
        <w:jc w:val="both"/>
        <w:rPr>
          <w:rFonts w:ascii="Calibri" w:hAnsi="Calibri" w:cs="Calibri"/>
        </w:rPr>
      </w:pPr>
      <w:r w:rsidRPr="00327989">
        <w:rPr>
          <w:rFonts w:ascii="Calibri" w:hAnsi="Calibri" w:cs="Calibri"/>
        </w:rPr>
        <w:t>Bu çalışmaların yanı sıra, hizmet bölgemizdeki orman yangını riskini de değerlendirerek önleyici bakım ve yatırım çalışmaları yürütüyoruz. 2025 yılında ormanlık bölgeleri içeren coğrafyada toplamda 2,7 milyar TL yatırım gerçekleştirdik, 2026 yılında ise 5,8 milyar TL kaynak ayıracağız. Bu kapsamda termal kamera ve IoT sensör ağı ile sürekli sıcaklık ve duman izleme yapıyor; insansız hava araçları ile hızlı müdahale ve erken tespit sağlıyoruz. 2026 yılında 50 bine yakın noktadaki şebeke yatırımımızın termal kameralarla kontrollerini sağladık ve tespitler yaparak bin 700 noktada arıza öncesi müdahaleler gerçekleştirdik.</w:t>
      </w:r>
    </w:p>
    <w:p w14:paraId="78979C50" w14:textId="77777777" w:rsidR="00327989" w:rsidRPr="00327989" w:rsidRDefault="00327989" w:rsidP="00327989">
      <w:pPr>
        <w:pStyle w:val="NormalWeb"/>
        <w:jc w:val="both"/>
        <w:rPr>
          <w:rFonts w:ascii="Calibri" w:hAnsi="Calibri" w:cs="Calibri"/>
        </w:rPr>
      </w:pPr>
      <w:r w:rsidRPr="00327989">
        <w:rPr>
          <w:rFonts w:ascii="Calibri" w:hAnsi="Calibri" w:cs="Calibri"/>
        </w:rPr>
        <w:t>Bu bölgelerde düzenli olarak elektrik hatlarına temas edebilecek ağaç dallarını buduyoruz ve hat altı güzergahlarda ot ve bitki örtüsü temizliyoruz. Ayrıca direk altlarına yangın önleme betonu döşüyor ve izolasyon çubukları ile iletkenlerin birbirine temasını engelliyoruz.</w:t>
      </w:r>
    </w:p>
    <w:p w14:paraId="6B54AE0F" w14:textId="77777777" w:rsidR="00327989" w:rsidRPr="00327989" w:rsidRDefault="00327989" w:rsidP="00327989">
      <w:pPr>
        <w:pStyle w:val="NormalWeb"/>
        <w:jc w:val="both"/>
        <w:rPr>
          <w:rFonts w:ascii="Calibri" w:hAnsi="Calibri" w:cs="Calibri"/>
        </w:rPr>
      </w:pPr>
      <w:r w:rsidRPr="00327989">
        <w:rPr>
          <w:rFonts w:ascii="Calibri" w:hAnsi="Calibri" w:cs="Calibri"/>
          <w:b/>
          <w:bCs/>
        </w:rPr>
        <w:t>Yenilenebilir enerji yatırımlarınız neler?</w:t>
      </w:r>
    </w:p>
    <w:p w14:paraId="2AA65F2D" w14:textId="77777777" w:rsidR="00327989" w:rsidRPr="00327989" w:rsidRDefault="00327989" w:rsidP="00327989">
      <w:pPr>
        <w:pStyle w:val="NormalWeb"/>
        <w:jc w:val="both"/>
        <w:rPr>
          <w:rFonts w:ascii="Calibri" w:hAnsi="Calibri" w:cs="Calibri"/>
        </w:rPr>
      </w:pPr>
      <w:r w:rsidRPr="00327989">
        <w:rPr>
          <w:rFonts w:ascii="Calibri" w:hAnsi="Calibri" w:cs="Calibri"/>
        </w:rPr>
        <w:t>Aydem Enerji olarak üretim alanındaki büyüme stratejimizi yenilenebilir kaynaklar ekseninde şekillendiriyoruz. 2026 yılı itibarıyla yenilenebilir enerji alanındaki 1.216 MW kurulu gücümüzün 852,1 MW’ı hidroelektrik, 268,5 MW’ı rüzgâr, 82,2 MW’ı güneş, 6,90 MW’ı jeotermal kaynaklı santrallerden oluşuyor.</w:t>
      </w:r>
    </w:p>
    <w:p w14:paraId="4B9E0036" w14:textId="77777777" w:rsidR="00327989" w:rsidRPr="00327989" w:rsidRDefault="00327989" w:rsidP="00327989">
      <w:pPr>
        <w:pStyle w:val="NormalWeb"/>
        <w:jc w:val="both"/>
        <w:rPr>
          <w:rFonts w:ascii="Calibri" w:hAnsi="Calibri" w:cs="Calibri"/>
        </w:rPr>
      </w:pPr>
      <w:r w:rsidRPr="00327989">
        <w:rPr>
          <w:rFonts w:ascii="Calibri" w:hAnsi="Calibri" w:cs="Calibri"/>
        </w:rPr>
        <w:t>Depolama teknolojilerini de yenilenebilir enerji yatırımlarımızın ayrılmaz bir parçası olarak görüyoruz. Bu alandaki en büyük yatırımımız olan Şanlıurfa’da planladığımız toplam 600 MW mekanik güce ve 450 MWh depolama kapasitesine sahip iki depolamalı güneş enerjisi projesini de önümüzdeki 2 yılda tamamlamayı hedefliyoruz. Diğer projelerimiz arasında ise Kırklareli Kızılağaç’ta 100 MW kurulu güce ve 115 MWh depolama kapasitesine sahip depolamalı rüzgâr enerjisi projesi, Yalova ve Uşak rüzgâr santrallerimizde gerçekleştireceğimiz toplam 75 MW gücündeki dönüşüm ve kapasite artışı projeleri ile mevcut santrallerimizin yanında kuracağımız yaklaşık 97 MW gücündeki hibrit GES projeleri yer alıyor.</w:t>
      </w:r>
    </w:p>
    <w:p w14:paraId="077B00AC" w14:textId="77777777" w:rsidR="00327989" w:rsidRPr="00327989" w:rsidRDefault="00327989" w:rsidP="00327989">
      <w:pPr>
        <w:pStyle w:val="NormalWeb"/>
        <w:jc w:val="both"/>
        <w:rPr>
          <w:rFonts w:ascii="Calibri" w:hAnsi="Calibri" w:cs="Calibri"/>
        </w:rPr>
      </w:pPr>
      <w:r w:rsidRPr="00327989">
        <w:rPr>
          <w:rFonts w:ascii="Calibri" w:hAnsi="Calibri" w:cs="Calibri"/>
        </w:rPr>
        <w:t xml:space="preserve">Uşak RES’te başarıyla hayata geçirdiğimiz ve olumlu sonuçlarını alarak verimlilik elde ettiğimiz repowering projemizi, Yalova RES sahamızda yaygınlaştıracağız. Yalova’da verimli alanlarda </w:t>
      </w:r>
      <w:r w:rsidRPr="00327989">
        <w:rPr>
          <w:rFonts w:ascii="Calibri" w:hAnsi="Calibri" w:cs="Calibri"/>
        </w:rPr>
        <w:lastRenderedPageBreak/>
        <w:t>konumlanan, her biri 1,5 MW kurulu güce sahip eski teknolojiyle çalışan toplam 18 MW’lık 12 rüzgâr türbinimizi devreden çıkararak yerlerine, her biri 7,5 MW kurulu güce sahip 4 yeni nesil rüzgâr türbini kuracağız. Böylece repowering projesi kapsamında dönüşüme konu 18 MW’lık türbin kapasitesini 30 MW’a yükselterek santralimizde 12 MW net kapasite artışı sağlayacağız.</w:t>
      </w:r>
    </w:p>
    <w:p w14:paraId="14D56CED" w14:textId="77777777" w:rsidR="00327989" w:rsidRPr="00327989" w:rsidRDefault="00327989" w:rsidP="00327989">
      <w:pPr>
        <w:pStyle w:val="NormalWeb"/>
        <w:jc w:val="both"/>
        <w:rPr>
          <w:rFonts w:ascii="Calibri" w:hAnsi="Calibri" w:cs="Calibri"/>
        </w:rPr>
      </w:pPr>
      <w:r w:rsidRPr="00327989">
        <w:rPr>
          <w:rFonts w:ascii="Calibri" w:hAnsi="Calibri" w:cs="Calibri"/>
        </w:rPr>
        <w:t>Tüm bu projelerle birlikte önümüzdeki üç yılda yaklaşık %70 büyüyerek kurulu gücümüzü 2.000 MW’ın üzerine çıkarmayı hedefliyoruz.</w:t>
      </w:r>
    </w:p>
    <w:p w14:paraId="5AC07A8A" w14:textId="77777777" w:rsidR="00327989" w:rsidRPr="00327989" w:rsidRDefault="00327989" w:rsidP="00327989">
      <w:pPr>
        <w:pStyle w:val="NormalWeb"/>
        <w:jc w:val="both"/>
        <w:rPr>
          <w:rFonts w:ascii="Calibri" w:hAnsi="Calibri" w:cs="Calibri"/>
        </w:rPr>
      </w:pPr>
      <w:r w:rsidRPr="00327989">
        <w:rPr>
          <w:rFonts w:ascii="Calibri" w:hAnsi="Calibri" w:cs="Calibri"/>
          <w:b/>
          <w:bCs/>
        </w:rPr>
        <w:t>YERLİ KÖMÜR SANTRALLERİ, ENERJİ ARZ GÜVENLİĞİNE KATKI SAĞLIYOR</w:t>
      </w:r>
    </w:p>
    <w:p w14:paraId="2529F40D" w14:textId="77777777" w:rsidR="00327989" w:rsidRPr="00327989" w:rsidRDefault="00327989" w:rsidP="00327989">
      <w:pPr>
        <w:pStyle w:val="NormalWeb"/>
        <w:jc w:val="both"/>
        <w:rPr>
          <w:rFonts w:ascii="Calibri" w:hAnsi="Calibri" w:cs="Calibri"/>
        </w:rPr>
      </w:pPr>
      <w:r w:rsidRPr="00327989">
        <w:rPr>
          <w:rFonts w:ascii="Calibri" w:hAnsi="Calibri" w:cs="Calibri"/>
          <w:b/>
          <w:bCs/>
        </w:rPr>
        <w:t>Termik santral yatırımlarınız sürecek mi?</w:t>
      </w:r>
    </w:p>
    <w:p w14:paraId="55844A1F" w14:textId="77777777" w:rsidR="00327989" w:rsidRPr="00327989" w:rsidRDefault="00327989" w:rsidP="00327989">
      <w:pPr>
        <w:pStyle w:val="NormalWeb"/>
        <w:jc w:val="both"/>
        <w:rPr>
          <w:rFonts w:ascii="Calibri" w:hAnsi="Calibri" w:cs="Calibri"/>
        </w:rPr>
      </w:pPr>
      <w:r w:rsidRPr="00327989">
        <w:rPr>
          <w:rFonts w:ascii="Calibri" w:hAnsi="Calibri" w:cs="Calibri"/>
        </w:rPr>
        <w:t>Grubumuzda iki adet yerli kömürle çalışan termik santral bulunuyor. Bu iki santralimiz yaklaşık 1,5 milyon kişinin günlük elektrik ihtiyacını karşılıyor; Türkiye’nin toplam elektrik üretiminin yaklaşık yüzde 1,8’ini, yerli baz yük üretiminin ise yaklaşık yüzde 4,5’ini tek başına gerçekleştiriyor.</w:t>
      </w:r>
    </w:p>
    <w:p w14:paraId="4F1C7854" w14:textId="77777777" w:rsidR="00327989" w:rsidRPr="00327989" w:rsidRDefault="00327989" w:rsidP="00327989">
      <w:pPr>
        <w:pStyle w:val="NormalWeb"/>
        <w:jc w:val="both"/>
        <w:rPr>
          <w:rFonts w:ascii="Calibri" w:hAnsi="Calibri" w:cs="Calibri"/>
        </w:rPr>
      </w:pPr>
      <w:r w:rsidRPr="00327989">
        <w:rPr>
          <w:rFonts w:ascii="Calibri" w:hAnsi="Calibri" w:cs="Calibri"/>
        </w:rPr>
        <w:t>Yerli kömür santralleri, enerji arz güvenliğine katkılarının yanı sıra, enerji ithalatını azaltarak cari açığın düşürülmesinde de önemli rol üstleniyor. Yerli kömürden elektrik üretimi Türkiye’nin cari açığının azaltılmasına yıllık yaklaşık 4,5 milyar dolar katkı sağlıyor. Santrallerin ekonomik ömürleri boyunca ise bu katkı 100 milyar dolar.</w:t>
      </w:r>
    </w:p>
    <w:p w14:paraId="12410C07" w14:textId="77777777" w:rsidR="00327989" w:rsidRPr="00327989" w:rsidRDefault="00327989" w:rsidP="00327989">
      <w:pPr>
        <w:pStyle w:val="NormalWeb"/>
        <w:jc w:val="both"/>
        <w:rPr>
          <w:rFonts w:ascii="Calibri" w:hAnsi="Calibri" w:cs="Calibri"/>
        </w:rPr>
      </w:pPr>
      <w:r w:rsidRPr="00327989">
        <w:rPr>
          <w:rFonts w:ascii="Calibri" w:hAnsi="Calibri" w:cs="Calibri"/>
        </w:rPr>
        <w:t>Termik santrallerimiz için önümüzdeki dönemin en önemli yatırım başlıklarından biri, kapsamlı bir dönüşüm yol haritasının hayata geçirilmesi olacak. Gerekli dönüşüm izinlerinin ve yol haritasının yetkili merciler tarafından belirlenmesi, bu santrallerin bir yandan hibrit yenilenebilir kapasitelere yatırım yapmasının önünü açarken; ülke olarak baz yük gücümüzün de yedek bir kaynak olarak tutulmasına olanak sağlayacak. Sektör olarak, bu konudaki girişimlerimizi sürdürüyoruz.</w:t>
      </w:r>
    </w:p>
    <w:p w14:paraId="64773664" w14:textId="77777777" w:rsidR="00327989" w:rsidRPr="00327989" w:rsidRDefault="00327989" w:rsidP="00327989">
      <w:pPr>
        <w:pStyle w:val="NormalWeb"/>
        <w:jc w:val="both"/>
        <w:rPr>
          <w:rFonts w:ascii="Calibri" w:hAnsi="Calibri" w:cs="Calibri"/>
        </w:rPr>
      </w:pPr>
      <w:r w:rsidRPr="00327989">
        <w:rPr>
          <w:rFonts w:ascii="Calibri" w:hAnsi="Calibri" w:cs="Calibri"/>
          <w:b/>
          <w:bCs/>
        </w:rPr>
        <w:t>KAYIP KAÇAKTA HIZLI TESPİT</w:t>
      </w:r>
    </w:p>
    <w:p w14:paraId="4C6E8FF7" w14:textId="77777777" w:rsidR="00327989" w:rsidRPr="00327989" w:rsidRDefault="00327989" w:rsidP="00327989">
      <w:pPr>
        <w:pStyle w:val="NormalWeb"/>
        <w:jc w:val="both"/>
        <w:rPr>
          <w:rFonts w:ascii="Calibri" w:hAnsi="Calibri" w:cs="Calibri"/>
        </w:rPr>
      </w:pPr>
      <w:r w:rsidRPr="00327989">
        <w:rPr>
          <w:rFonts w:ascii="Calibri" w:hAnsi="Calibri" w:cs="Calibri"/>
          <w:b/>
          <w:bCs/>
        </w:rPr>
        <w:t>Kayıp kaçakların engellenmesi, teknolojinin kullanılması ve verimlilik konularında neler söyleyebilirsiniz?</w:t>
      </w:r>
    </w:p>
    <w:p w14:paraId="4895D750" w14:textId="77777777" w:rsidR="00327989" w:rsidRPr="00327989" w:rsidRDefault="00327989" w:rsidP="00327989">
      <w:pPr>
        <w:pStyle w:val="NormalWeb"/>
        <w:jc w:val="both"/>
        <w:rPr>
          <w:rFonts w:ascii="Calibri" w:hAnsi="Calibri" w:cs="Calibri"/>
        </w:rPr>
      </w:pPr>
      <w:r w:rsidRPr="00327989">
        <w:rPr>
          <w:rFonts w:ascii="Calibri" w:hAnsi="Calibri" w:cs="Calibri"/>
        </w:rPr>
        <w:t>Kayıp enerji yönetiminde ülkemizin en başarılı gruplarından biri olduğumuzu söyleyebilirim. Teknik ve teknik olmayan kayıplarda iki dağıtım şirketimizin ortalaması yüzde 5,5 seviyesinde. Dağıtım sektörüne ilk girdiğimizde yaklaşık yüzde 10 olan kayıp oranımızı bugün yüzde 5-6 seviyelerine indirerek yılda yaklaşık 900 bin MWh enerjiyi ülkemize yeniden kazandırdık. Önlenen bu kayıp enerji miktarı ile 300 bin konutun enerji tüketiminin sürekli karşılanması mümkün.</w:t>
      </w:r>
    </w:p>
    <w:p w14:paraId="3771F713" w14:textId="77777777" w:rsidR="00327989" w:rsidRPr="00327989" w:rsidRDefault="00327989" w:rsidP="00327989">
      <w:pPr>
        <w:pStyle w:val="NormalWeb"/>
        <w:jc w:val="both"/>
        <w:rPr>
          <w:rFonts w:ascii="Calibri" w:hAnsi="Calibri" w:cs="Calibri"/>
        </w:rPr>
      </w:pPr>
      <w:r w:rsidRPr="00327989">
        <w:rPr>
          <w:rFonts w:ascii="Calibri" w:hAnsi="Calibri" w:cs="Calibri"/>
        </w:rPr>
        <w:t>Günümüzde artık önemli olan sahayı sadece izlemek değil sahada olacakları öngörmek. Otomatik Sayaç Okuma Sistemi, uydudan sayaç okuma uygulamaları ve veri analitiği çözümleri kullanarak enerji tüketim verilerini anlık ve düzenli olarak takip ediyoruz. Bu sistemler kaçak kullanım ve teknik kayıpların hızla tespit edilmesini sağlıyor, enerji dağıtım süreçlerinde verimliliği artırıyor. Altyapımızın bu kabiliyetlerini sürekli daha da geliştirmeyi hedefleyen projeler üzerinde çalışıyoruz.</w:t>
      </w:r>
    </w:p>
    <w:p w14:paraId="2A2053AB" w14:textId="77777777" w:rsidR="00327989" w:rsidRPr="00327989" w:rsidRDefault="00327989" w:rsidP="00327989">
      <w:pPr>
        <w:pStyle w:val="NormalWeb"/>
        <w:jc w:val="both"/>
        <w:rPr>
          <w:rFonts w:ascii="Calibri" w:hAnsi="Calibri" w:cs="Calibri"/>
        </w:rPr>
      </w:pPr>
      <w:r w:rsidRPr="00327989">
        <w:rPr>
          <w:rFonts w:ascii="Calibri" w:hAnsi="Calibri" w:cs="Calibri"/>
        </w:rPr>
        <w:lastRenderedPageBreak/>
        <w:t>SCADA ve yapay zekâ destekli yaklaşımlarla şebekeyi gerçek zamanlı olarak izliyoruz. Şebekemizin yüzde 44’ünü SCADA sistemleri ile uzaktan izliyor; gerçek zamanlı veri takibi yapıyoruz. 2026 yılında kullanım noktalarının yüzde 61’inden fazlasını uzaktan sayaç okuyabilme kabiliyetimizle kapsadık. 2030 yılı sonuna kadar kullanım noktalarının yüzde 76’sından fazlasının sisteme dahil olmasını hedefliyoruz. Ayrıca temel GSM şebekesi dışında kalan kimi kırsal bölgelerde de uydu üzerinden sayaç okuma sistemini Türkiye’de bir ilk olarak devreye aldık. Bu pilot uygulama da kayıp-kaçak konusunda önemli bir verimlilik sağlayacak.</w:t>
      </w:r>
    </w:p>
    <w:p w14:paraId="0B465557" w14:textId="0D13CD69" w:rsidR="00183C0A" w:rsidRPr="00CF6B0F" w:rsidRDefault="00183C0A" w:rsidP="00CF6B0F">
      <w:pPr>
        <w:pStyle w:val="NormalWeb"/>
        <w:jc w:val="both"/>
        <w:rPr>
          <w:rFonts w:ascii="Calibri" w:hAnsi="Calibri" w:cs="Calibri"/>
          <w:sz w:val="22"/>
          <w:szCs w:val="22"/>
        </w:rPr>
      </w:pPr>
    </w:p>
    <w:sectPr w:rsidR="00183C0A" w:rsidRPr="00CF6B0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BB84F" w14:textId="77777777" w:rsidR="00634B29" w:rsidRDefault="00634B29" w:rsidP="00EA72FE">
      <w:r>
        <w:separator/>
      </w:r>
    </w:p>
  </w:endnote>
  <w:endnote w:type="continuationSeparator" w:id="0">
    <w:p w14:paraId="79274F8B" w14:textId="77777777" w:rsidR="00634B29" w:rsidRDefault="00634B29" w:rsidP="00EA7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2DD78" w14:textId="77777777" w:rsidR="00EA72FE" w:rsidRDefault="00EA72F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4B64C" w14:textId="5F273784" w:rsidR="00EA72FE" w:rsidRDefault="00EA72FE">
    <w:pPr>
      <w:pStyle w:val="AltBilgi"/>
      <w:jc w:val="center"/>
      <w:rPr>
        <w:color w:val="000000"/>
        <w:sz w:val="17"/>
        <w:shd w:val="clear" w:color="auto" w:fill="FFFFFF"/>
      </w:rPr>
    </w:pPr>
    <w:bookmarkStart w:id="0" w:name="Titus1FooterPrimary"/>
    <w:r w:rsidRPr="00CF6B0F">
      <w:rPr>
        <w:color w:val="000000"/>
        <w:sz w:val="17"/>
        <w:shd w:val="clear" w:color="auto" w:fill="FFFFFF"/>
      </w:rPr>
      <w:t> </w:t>
    </w:r>
  </w:p>
  <w:p w14:paraId="719538B7" w14:textId="7E89B8E3" w:rsidR="00EA72FE" w:rsidRDefault="00EA72FE" w:rsidP="00CF6B0F">
    <w:pPr>
      <w:pStyle w:val="AltBilgi"/>
      <w:jc w:val="center"/>
    </w:pPr>
    <w:r w:rsidRPr="00CF6B0F">
      <w:rPr>
        <w:rFonts w:ascii="Calibri" w:hAnsi="Calibri" w:cs="Calibri"/>
        <w:b/>
        <w:color w:val="FFA500"/>
        <w:sz w:val="18"/>
        <w:shd w:val="clear" w:color="auto" w:fill="FFFFFF"/>
      </w:rPr>
      <w:t>Hizmete Özel | Restricted</w:t>
    </w:r>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1E425" w14:textId="77777777" w:rsidR="00EA72FE" w:rsidRDefault="00EA72F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3972D" w14:textId="77777777" w:rsidR="00634B29" w:rsidRDefault="00634B29" w:rsidP="00EA72FE">
      <w:r>
        <w:separator/>
      </w:r>
    </w:p>
  </w:footnote>
  <w:footnote w:type="continuationSeparator" w:id="0">
    <w:p w14:paraId="66D3E1F6" w14:textId="77777777" w:rsidR="00634B29" w:rsidRDefault="00634B29" w:rsidP="00EA72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CB722" w14:textId="77777777" w:rsidR="00EA72FE" w:rsidRDefault="00EA72F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BDD6E" w14:textId="77777777" w:rsidR="00EA72FE" w:rsidRDefault="00EA72F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0996E" w14:textId="77777777" w:rsidR="00EA72FE" w:rsidRDefault="00EA72F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62B0"/>
    <w:multiLevelType w:val="multilevel"/>
    <w:tmpl w:val="7408DA9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8C22BAD"/>
    <w:multiLevelType w:val="hybridMultilevel"/>
    <w:tmpl w:val="914A3CCC"/>
    <w:lvl w:ilvl="0" w:tplc="AFFE31AA">
      <w:start w:val="1"/>
      <w:numFmt w:val="decimal"/>
      <w:lvlText w:val="%1-"/>
      <w:lvlJc w:val="left"/>
      <w:pPr>
        <w:ind w:left="720" w:hanging="360"/>
      </w:pPr>
      <w:rPr>
        <w:rFonts w:asciiTheme="minorHAnsi" w:eastAsiaTheme="minorHAnsi" w:hAnsiTheme="minorHAnsi" w:cstheme="minorBidi"/>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0D7194D"/>
    <w:multiLevelType w:val="multilevel"/>
    <w:tmpl w:val="CBDAEC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1407982"/>
    <w:multiLevelType w:val="multilevel"/>
    <w:tmpl w:val="7B22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21044B"/>
    <w:multiLevelType w:val="hybridMultilevel"/>
    <w:tmpl w:val="0C34A2BA"/>
    <w:lvl w:ilvl="0" w:tplc="F564B310">
      <w:start w:val="6"/>
      <w:numFmt w:val="decimal"/>
      <w:lvlText w:val="%1."/>
      <w:lvlJc w:val="left"/>
      <w:pPr>
        <w:ind w:left="720" w:hanging="360"/>
      </w:pPr>
      <w:rPr>
        <w:rFonts w:ascii="Calibri" w:hAnsi="Calibri" w:cs="Calibri"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9016036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96953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0470226">
    <w:abstractNumId w:val="3"/>
  </w:num>
  <w:num w:numId="4" w16cid:durableId="819232706">
    <w:abstractNumId w:val="4"/>
  </w:num>
  <w:num w:numId="5" w16cid:durableId="1380738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456"/>
    <w:rsid w:val="00016E1D"/>
    <w:rsid w:val="0003197F"/>
    <w:rsid w:val="0003574E"/>
    <w:rsid w:val="00037504"/>
    <w:rsid w:val="00043DB3"/>
    <w:rsid w:val="00047F13"/>
    <w:rsid w:val="00051AEE"/>
    <w:rsid w:val="000676F5"/>
    <w:rsid w:val="000876AA"/>
    <w:rsid w:val="00093A57"/>
    <w:rsid w:val="000A7833"/>
    <w:rsid w:val="000A78E5"/>
    <w:rsid w:val="000B0071"/>
    <w:rsid w:val="000B096D"/>
    <w:rsid w:val="000C0779"/>
    <w:rsid w:val="000D6D48"/>
    <w:rsid w:val="000E6442"/>
    <w:rsid w:val="00100AEB"/>
    <w:rsid w:val="00102372"/>
    <w:rsid w:val="0010344D"/>
    <w:rsid w:val="001124BF"/>
    <w:rsid w:val="00112994"/>
    <w:rsid w:val="001154E5"/>
    <w:rsid w:val="001242C9"/>
    <w:rsid w:val="00130915"/>
    <w:rsid w:val="00137B19"/>
    <w:rsid w:val="00144EDA"/>
    <w:rsid w:val="001516D2"/>
    <w:rsid w:val="0015215E"/>
    <w:rsid w:val="0015228A"/>
    <w:rsid w:val="00152710"/>
    <w:rsid w:val="001531EF"/>
    <w:rsid w:val="0016378C"/>
    <w:rsid w:val="00165F15"/>
    <w:rsid w:val="00175E27"/>
    <w:rsid w:val="00182291"/>
    <w:rsid w:val="00183C0A"/>
    <w:rsid w:val="0018785A"/>
    <w:rsid w:val="00190221"/>
    <w:rsid w:val="00194591"/>
    <w:rsid w:val="001A09FC"/>
    <w:rsid w:val="001A23AC"/>
    <w:rsid w:val="001A710B"/>
    <w:rsid w:val="001B15FB"/>
    <w:rsid w:val="001D060A"/>
    <w:rsid w:val="001D564F"/>
    <w:rsid w:val="001D6FE9"/>
    <w:rsid w:val="001E0741"/>
    <w:rsid w:val="001F075B"/>
    <w:rsid w:val="001F4D6D"/>
    <w:rsid w:val="001F6BDE"/>
    <w:rsid w:val="002015FD"/>
    <w:rsid w:val="00202E50"/>
    <w:rsid w:val="00217929"/>
    <w:rsid w:val="0022513D"/>
    <w:rsid w:val="0023687F"/>
    <w:rsid w:val="00240E93"/>
    <w:rsid w:val="00246A5E"/>
    <w:rsid w:val="002557CE"/>
    <w:rsid w:val="00264CFA"/>
    <w:rsid w:val="002653CC"/>
    <w:rsid w:val="002802F1"/>
    <w:rsid w:val="00281420"/>
    <w:rsid w:val="0029034A"/>
    <w:rsid w:val="00294102"/>
    <w:rsid w:val="00294D98"/>
    <w:rsid w:val="002A5942"/>
    <w:rsid w:val="002A67AA"/>
    <w:rsid w:val="002C03D5"/>
    <w:rsid w:val="002C3D78"/>
    <w:rsid w:val="002C4E2C"/>
    <w:rsid w:val="002C5A67"/>
    <w:rsid w:val="002C5B4B"/>
    <w:rsid w:val="002D12D8"/>
    <w:rsid w:val="002D675C"/>
    <w:rsid w:val="002D6A63"/>
    <w:rsid w:val="002E4C58"/>
    <w:rsid w:val="002E5E6D"/>
    <w:rsid w:val="002F64AC"/>
    <w:rsid w:val="0031074C"/>
    <w:rsid w:val="00310B5C"/>
    <w:rsid w:val="00313454"/>
    <w:rsid w:val="003146EB"/>
    <w:rsid w:val="003170D5"/>
    <w:rsid w:val="00322506"/>
    <w:rsid w:val="00322755"/>
    <w:rsid w:val="0032546E"/>
    <w:rsid w:val="00325D80"/>
    <w:rsid w:val="00327989"/>
    <w:rsid w:val="00333A14"/>
    <w:rsid w:val="003376F4"/>
    <w:rsid w:val="00346C89"/>
    <w:rsid w:val="003540E4"/>
    <w:rsid w:val="00360A12"/>
    <w:rsid w:val="00371137"/>
    <w:rsid w:val="00372210"/>
    <w:rsid w:val="0037410D"/>
    <w:rsid w:val="0038023A"/>
    <w:rsid w:val="00391100"/>
    <w:rsid w:val="00395D39"/>
    <w:rsid w:val="003A43EF"/>
    <w:rsid w:val="003B0901"/>
    <w:rsid w:val="003B1A95"/>
    <w:rsid w:val="003B4275"/>
    <w:rsid w:val="003B6BC2"/>
    <w:rsid w:val="003C0DCA"/>
    <w:rsid w:val="003D1D6E"/>
    <w:rsid w:val="003D28D5"/>
    <w:rsid w:val="003D52C6"/>
    <w:rsid w:val="003E0FDC"/>
    <w:rsid w:val="003E5D35"/>
    <w:rsid w:val="003E6083"/>
    <w:rsid w:val="003F6C28"/>
    <w:rsid w:val="0040298F"/>
    <w:rsid w:val="00413BDF"/>
    <w:rsid w:val="00414115"/>
    <w:rsid w:val="00417DE2"/>
    <w:rsid w:val="00421EDB"/>
    <w:rsid w:val="004223BA"/>
    <w:rsid w:val="00431495"/>
    <w:rsid w:val="004422B6"/>
    <w:rsid w:val="00443BD0"/>
    <w:rsid w:val="00444B20"/>
    <w:rsid w:val="00446DD5"/>
    <w:rsid w:val="00451AEA"/>
    <w:rsid w:val="00454FDB"/>
    <w:rsid w:val="0046019C"/>
    <w:rsid w:val="004610FB"/>
    <w:rsid w:val="00462EE5"/>
    <w:rsid w:val="00465A41"/>
    <w:rsid w:val="00466EC1"/>
    <w:rsid w:val="00473C9F"/>
    <w:rsid w:val="00485C9F"/>
    <w:rsid w:val="004937D6"/>
    <w:rsid w:val="004C291E"/>
    <w:rsid w:val="004C60BA"/>
    <w:rsid w:val="004C7899"/>
    <w:rsid w:val="004D00BA"/>
    <w:rsid w:val="004D5907"/>
    <w:rsid w:val="004E3BD4"/>
    <w:rsid w:val="004E5E75"/>
    <w:rsid w:val="004F5E90"/>
    <w:rsid w:val="004F76CE"/>
    <w:rsid w:val="0050195C"/>
    <w:rsid w:val="00506CBF"/>
    <w:rsid w:val="0051140F"/>
    <w:rsid w:val="00522F9E"/>
    <w:rsid w:val="00531AB6"/>
    <w:rsid w:val="00533465"/>
    <w:rsid w:val="00534851"/>
    <w:rsid w:val="00535CAF"/>
    <w:rsid w:val="00552898"/>
    <w:rsid w:val="00552D00"/>
    <w:rsid w:val="005532CF"/>
    <w:rsid w:val="005670B3"/>
    <w:rsid w:val="0057052C"/>
    <w:rsid w:val="00572304"/>
    <w:rsid w:val="00591F40"/>
    <w:rsid w:val="005941EE"/>
    <w:rsid w:val="00594F79"/>
    <w:rsid w:val="00597C22"/>
    <w:rsid w:val="005A5039"/>
    <w:rsid w:val="005B1983"/>
    <w:rsid w:val="005B3EBF"/>
    <w:rsid w:val="005B5290"/>
    <w:rsid w:val="005B77E2"/>
    <w:rsid w:val="005C412D"/>
    <w:rsid w:val="005C532B"/>
    <w:rsid w:val="005D4E3D"/>
    <w:rsid w:val="005D6E4A"/>
    <w:rsid w:val="005D751B"/>
    <w:rsid w:val="005E5925"/>
    <w:rsid w:val="005E5A13"/>
    <w:rsid w:val="006055EF"/>
    <w:rsid w:val="006275FC"/>
    <w:rsid w:val="00634B29"/>
    <w:rsid w:val="006377F2"/>
    <w:rsid w:val="00642819"/>
    <w:rsid w:val="00660B2D"/>
    <w:rsid w:val="00667920"/>
    <w:rsid w:val="00671606"/>
    <w:rsid w:val="00672624"/>
    <w:rsid w:val="00690B9E"/>
    <w:rsid w:val="006928B4"/>
    <w:rsid w:val="00697822"/>
    <w:rsid w:val="006B0C1D"/>
    <w:rsid w:val="006B1A7F"/>
    <w:rsid w:val="006B39CD"/>
    <w:rsid w:val="006B6E79"/>
    <w:rsid w:val="006C1717"/>
    <w:rsid w:val="006D2168"/>
    <w:rsid w:val="006D6E68"/>
    <w:rsid w:val="006E1678"/>
    <w:rsid w:val="006E1BE6"/>
    <w:rsid w:val="006E43A1"/>
    <w:rsid w:val="006F5714"/>
    <w:rsid w:val="00721B9F"/>
    <w:rsid w:val="00721E50"/>
    <w:rsid w:val="00725E04"/>
    <w:rsid w:val="007379B4"/>
    <w:rsid w:val="007444BE"/>
    <w:rsid w:val="00747B62"/>
    <w:rsid w:val="00751276"/>
    <w:rsid w:val="007529CB"/>
    <w:rsid w:val="007640D7"/>
    <w:rsid w:val="0077110F"/>
    <w:rsid w:val="00772207"/>
    <w:rsid w:val="0077302A"/>
    <w:rsid w:val="00785BDF"/>
    <w:rsid w:val="007A1C68"/>
    <w:rsid w:val="007A5B37"/>
    <w:rsid w:val="007A6E80"/>
    <w:rsid w:val="007B2C0F"/>
    <w:rsid w:val="007B6991"/>
    <w:rsid w:val="007C1F3C"/>
    <w:rsid w:val="007C249D"/>
    <w:rsid w:val="007C4900"/>
    <w:rsid w:val="007D2121"/>
    <w:rsid w:val="007D7756"/>
    <w:rsid w:val="007E42CA"/>
    <w:rsid w:val="007E4988"/>
    <w:rsid w:val="007F64AB"/>
    <w:rsid w:val="00805A9B"/>
    <w:rsid w:val="00812452"/>
    <w:rsid w:val="00812EC0"/>
    <w:rsid w:val="00821794"/>
    <w:rsid w:val="00833660"/>
    <w:rsid w:val="00841020"/>
    <w:rsid w:val="00841DDC"/>
    <w:rsid w:val="00842C02"/>
    <w:rsid w:val="00842D3F"/>
    <w:rsid w:val="00846AE9"/>
    <w:rsid w:val="008512B5"/>
    <w:rsid w:val="008701B5"/>
    <w:rsid w:val="00873E52"/>
    <w:rsid w:val="00883F78"/>
    <w:rsid w:val="008852AB"/>
    <w:rsid w:val="008856BF"/>
    <w:rsid w:val="008A5926"/>
    <w:rsid w:val="008B4809"/>
    <w:rsid w:val="008E15CB"/>
    <w:rsid w:val="008E3B72"/>
    <w:rsid w:val="009025EE"/>
    <w:rsid w:val="009046C7"/>
    <w:rsid w:val="009046D4"/>
    <w:rsid w:val="00904868"/>
    <w:rsid w:val="00912E0B"/>
    <w:rsid w:val="00913094"/>
    <w:rsid w:val="0091517B"/>
    <w:rsid w:val="00916F0E"/>
    <w:rsid w:val="0092286C"/>
    <w:rsid w:val="00936199"/>
    <w:rsid w:val="009504DD"/>
    <w:rsid w:val="00950740"/>
    <w:rsid w:val="009577D7"/>
    <w:rsid w:val="009614B8"/>
    <w:rsid w:val="0096417F"/>
    <w:rsid w:val="009707F6"/>
    <w:rsid w:val="009771D2"/>
    <w:rsid w:val="00981703"/>
    <w:rsid w:val="00992A73"/>
    <w:rsid w:val="00994DDA"/>
    <w:rsid w:val="009A389B"/>
    <w:rsid w:val="009A407F"/>
    <w:rsid w:val="009C6B76"/>
    <w:rsid w:val="009D1159"/>
    <w:rsid w:val="009D16FA"/>
    <w:rsid w:val="009D1F71"/>
    <w:rsid w:val="009D4DF9"/>
    <w:rsid w:val="009D4F1D"/>
    <w:rsid w:val="009F2064"/>
    <w:rsid w:val="00A06BBA"/>
    <w:rsid w:val="00A11137"/>
    <w:rsid w:val="00A11EA8"/>
    <w:rsid w:val="00A14F00"/>
    <w:rsid w:val="00A2287A"/>
    <w:rsid w:val="00A241AF"/>
    <w:rsid w:val="00A2743D"/>
    <w:rsid w:val="00A31738"/>
    <w:rsid w:val="00A32542"/>
    <w:rsid w:val="00A33BA0"/>
    <w:rsid w:val="00A353E4"/>
    <w:rsid w:val="00A44670"/>
    <w:rsid w:val="00A601C4"/>
    <w:rsid w:val="00A61140"/>
    <w:rsid w:val="00A70213"/>
    <w:rsid w:val="00A8538E"/>
    <w:rsid w:val="00AA195E"/>
    <w:rsid w:val="00AA4F45"/>
    <w:rsid w:val="00AB264E"/>
    <w:rsid w:val="00AB2A27"/>
    <w:rsid w:val="00AB3022"/>
    <w:rsid w:val="00AD31CD"/>
    <w:rsid w:val="00AD595F"/>
    <w:rsid w:val="00AD61BF"/>
    <w:rsid w:val="00AD6381"/>
    <w:rsid w:val="00AF7879"/>
    <w:rsid w:val="00B05B4B"/>
    <w:rsid w:val="00B136D2"/>
    <w:rsid w:val="00B156EA"/>
    <w:rsid w:val="00B17588"/>
    <w:rsid w:val="00B21BFA"/>
    <w:rsid w:val="00B32FAF"/>
    <w:rsid w:val="00B41829"/>
    <w:rsid w:val="00B55C62"/>
    <w:rsid w:val="00B622C3"/>
    <w:rsid w:val="00B62875"/>
    <w:rsid w:val="00B770E6"/>
    <w:rsid w:val="00B773B9"/>
    <w:rsid w:val="00B82B0F"/>
    <w:rsid w:val="00BA1B0C"/>
    <w:rsid w:val="00BA69DC"/>
    <w:rsid w:val="00BB1D9B"/>
    <w:rsid w:val="00BB2667"/>
    <w:rsid w:val="00BB7D30"/>
    <w:rsid w:val="00BC3D98"/>
    <w:rsid w:val="00BD2ED5"/>
    <w:rsid w:val="00BD602D"/>
    <w:rsid w:val="00BF0CA6"/>
    <w:rsid w:val="00BF43EA"/>
    <w:rsid w:val="00BF56BE"/>
    <w:rsid w:val="00BF7066"/>
    <w:rsid w:val="00BF728F"/>
    <w:rsid w:val="00C05125"/>
    <w:rsid w:val="00C136F7"/>
    <w:rsid w:val="00C33BAE"/>
    <w:rsid w:val="00C36EF7"/>
    <w:rsid w:val="00C37A87"/>
    <w:rsid w:val="00C4243D"/>
    <w:rsid w:val="00C44CA6"/>
    <w:rsid w:val="00C4529B"/>
    <w:rsid w:val="00C5226B"/>
    <w:rsid w:val="00C5320C"/>
    <w:rsid w:val="00C61062"/>
    <w:rsid w:val="00C614EC"/>
    <w:rsid w:val="00C67754"/>
    <w:rsid w:val="00C73757"/>
    <w:rsid w:val="00C76868"/>
    <w:rsid w:val="00C96E06"/>
    <w:rsid w:val="00CA49BF"/>
    <w:rsid w:val="00CB1F58"/>
    <w:rsid w:val="00CB3D89"/>
    <w:rsid w:val="00CC435E"/>
    <w:rsid w:val="00CC65D3"/>
    <w:rsid w:val="00CD22F9"/>
    <w:rsid w:val="00CD74D9"/>
    <w:rsid w:val="00CE0B73"/>
    <w:rsid w:val="00CE20F6"/>
    <w:rsid w:val="00CF1571"/>
    <w:rsid w:val="00CF451F"/>
    <w:rsid w:val="00CF6B0F"/>
    <w:rsid w:val="00D04F11"/>
    <w:rsid w:val="00D06D99"/>
    <w:rsid w:val="00D11EC6"/>
    <w:rsid w:val="00D262ED"/>
    <w:rsid w:val="00D36E44"/>
    <w:rsid w:val="00D4228B"/>
    <w:rsid w:val="00D53F84"/>
    <w:rsid w:val="00D64B32"/>
    <w:rsid w:val="00D652D8"/>
    <w:rsid w:val="00D65775"/>
    <w:rsid w:val="00D7438D"/>
    <w:rsid w:val="00D80A17"/>
    <w:rsid w:val="00D9305F"/>
    <w:rsid w:val="00D9379E"/>
    <w:rsid w:val="00D9398A"/>
    <w:rsid w:val="00D95F2E"/>
    <w:rsid w:val="00D96523"/>
    <w:rsid w:val="00DA1E6E"/>
    <w:rsid w:val="00DB3B3A"/>
    <w:rsid w:val="00DC0D12"/>
    <w:rsid w:val="00DC3D03"/>
    <w:rsid w:val="00DC5036"/>
    <w:rsid w:val="00DC69F8"/>
    <w:rsid w:val="00DD1150"/>
    <w:rsid w:val="00DD1298"/>
    <w:rsid w:val="00DD25BC"/>
    <w:rsid w:val="00DD5ECC"/>
    <w:rsid w:val="00DE2F2E"/>
    <w:rsid w:val="00DE3C63"/>
    <w:rsid w:val="00DF0E17"/>
    <w:rsid w:val="00DF709B"/>
    <w:rsid w:val="00E0528A"/>
    <w:rsid w:val="00E06F25"/>
    <w:rsid w:val="00E11A2E"/>
    <w:rsid w:val="00E11E12"/>
    <w:rsid w:val="00E13BC9"/>
    <w:rsid w:val="00E13DA8"/>
    <w:rsid w:val="00E21462"/>
    <w:rsid w:val="00E903BE"/>
    <w:rsid w:val="00E90D87"/>
    <w:rsid w:val="00E91B79"/>
    <w:rsid w:val="00EA72FE"/>
    <w:rsid w:val="00EB37BE"/>
    <w:rsid w:val="00EB398C"/>
    <w:rsid w:val="00EB44D6"/>
    <w:rsid w:val="00EC59D6"/>
    <w:rsid w:val="00EC7A22"/>
    <w:rsid w:val="00EE16C4"/>
    <w:rsid w:val="00EE6D6E"/>
    <w:rsid w:val="00EE7F2E"/>
    <w:rsid w:val="00EF4B96"/>
    <w:rsid w:val="00EF6F67"/>
    <w:rsid w:val="00F01456"/>
    <w:rsid w:val="00F0435E"/>
    <w:rsid w:val="00F113AC"/>
    <w:rsid w:val="00F1204D"/>
    <w:rsid w:val="00F1660F"/>
    <w:rsid w:val="00F16CBD"/>
    <w:rsid w:val="00F21B3E"/>
    <w:rsid w:val="00F23739"/>
    <w:rsid w:val="00F40E55"/>
    <w:rsid w:val="00F47799"/>
    <w:rsid w:val="00F605D9"/>
    <w:rsid w:val="00F65A36"/>
    <w:rsid w:val="00F70CFC"/>
    <w:rsid w:val="00F72827"/>
    <w:rsid w:val="00F91FB0"/>
    <w:rsid w:val="00FA5FAC"/>
    <w:rsid w:val="00FA6A28"/>
    <w:rsid w:val="00FD7280"/>
    <w:rsid w:val="00FF21A9"/>
    <w:rsid w:val="00FF7E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F12D"/>
  <w15:chartTrackingRefBased/>
  <w15:docId w15:val="{07A3E904-EF4C-468C-8AFF-4C674EEEC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137"/>
    <w:pPr>
      <w:spacing w:after="0" w:line="240" w:lineRule="auto"/>
    </w:pPr>
    <w:rPr>
      <w:rFonts w:ascii="Aptos" w:hAnsi="Aptos" w:cs="Aptos"/>
      <w:kern w:val="0"/>
      <w:sz w:val="22"/>
      <w:szCs w:val="22"/>
    </w:rPr>
  </w:style>
  <w:style w:type="paragraph" w:styleId="Balk1">
    <w:name w:val="heading 1"/>
    <w:basedOn w:val="Normal"/>
    <w:next w:val="Normal"/>
    <w:link w:val="Balk1Char"/>
    <w:uiPriority w:val="9"/>
    <w:qFormat/>
    <w:rsid w:val="00F01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F01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F01456"/>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F01456"/>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F01456"/>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F01456"/>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01456"/>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01456"/>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01456"/>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01456"/>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F01456"/>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F01456"/>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F01456"/>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F01456"/>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F01456"/>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F01456"/>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F01456"/>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F01456"/>
    <w:rPr>
      <w:rFonts w:eastAsiaTheme="majorEastAsia" w:cstheme="majorBidi"/>
      <w:color w:val="272727" w:themeColor="text1" w:themeTint="D8"/>
    </w:rPr>
  </w:style>
  <w:style w:type="paragraph" w:styleId="KonuBal">
    <w:name w:val="Title"/>
    <w:basedOn w:val="Normal"/>
    <w:next w:val="Normal"/>
    <w:link w:val="KonuBalChar"/>
    <w:uiPriority w:val="10"/>
    <w:qFormat/>
    <w:rsid w:val="00F01456"/>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01456"/>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F01456"/>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F01456"/>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F01456"/>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F01456"/>
    <w:rPr>
      <w:i/>
      <w:iCs/>
      <w:color w:val="404040" w:themeColor="text1" w:themeTint="BF"/>
    </w:rPr>
  </w:style>
  <w:style w:type="paragraph" w:styleId="ListeParagraf">
    <w:name w:val="List Paragraph"/>
    <w:basedOn w:val="Normal"/>
    <w:uiPriority w:val="34"/>
    <w:qFormat/>
    <w:rsid w:val="00F01456"/>
    <w:pPr>
      <w:ind w:left="720"/>
      <w:contextualSpacing/>
    </w:pPr>
  </w:style>
  <w:style w:type="character" w:styleId="GlVurgulama">
    <w:name w:val="Intense Emphasis"/>
    <w:basedOn w:val="VarsaylanParagrafYazTipi"/>
    <w:uiPriority w:val="21"/>
    <w:qFormat/>
    <w:rsid w:val="00F01456"/>
    <w:rPr>
      <w:i/>
      <w:iCs/>
      <w:color w:val="0F4761" w:themeColor="accent1" w:themeShade="BF"/>
    </w:rPr>
  </w:style>
  <w:style w:type="paragraph" w:styleId="GlAlnt">
    <w:name w:val="Intense Quote"/>
    <w:basedOn w:val="Normal"/>
    <w:next w:val="Normal"/>
    <w:link w:val="GlAlntChar"/>
    <w:uiPriority w:val="30"/>
    <w:qFormat/>
    <w:rsid w:val="00F01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F01456"/>
    <w:rPr>
      <w:i/>
      <w:iCs/>
      <w:color w:val="0F4761" w:themeColor="accent1" w:themeShade="BF"/>
    </w:rPr>
  </w:style>
  <w:style w:type="character" w:styleId="GlBavuru">
    <w:name w:val="Intense Reference"/>
    <w:basedOn w:val="VarsaylanParagrafYazTipi"/>
    <w:uiPriority w:val="32"/>
    <w:qFormat/>
    <w:rsid w:val="00F01456"/>
    <w:rPr>
      <w:b/>
      <w:bCs/>
      <w:smallCaps/>
      <w:color w:val="0F4761" w:themeColor="accent1" w:themeShade="BF"/>
      <w:spacing w:val="5"/>
    </w:rPr>
  </w:style>
  <w:style w:type="paragraph" w:customStyle="1" w:styleId="xmsonormal">
    <w:name w:val="x_msonormal"/>
    <w:basedOn w:val="Normal"/>
    <w:rsid w:val="00F16CBD"/>
    <w:rPr>
      <w:sz w:val="24"/>
      <w:szCs w:val="24"/>
      <w:lang w:eastAsia="tr-TR"/>
      <w14:ligatures w14:val="none"/>
    </w:rPr>
  </w:style>
  <w:style w:type="paragraph" w:customStyle="1" w:styleId="xmsolistparagraph">
    <w:name w:val="x_msolistparagraph"/>
    <w:basedOn w:val="Normal"/>
    <w:rsid w:val="00F16CBD"/>
    <w:pPr>
      <w:ind w:left="720"/>
    </w:pPr>
    <w:rPr>
      <w:lang w:eastAsia="tr-TR"/>
      <w14:ligatures w14:val="none"/>
    </w:rPr>
  </w:style>
  <w:style w:type="paragraph" w:styleId="NormalWeb">
    <w:name w:val="Normal (Web)"/>
    <w:basedOn w:val="Normal"/>
    <w:uiPriority w:val="99"/>
    <w:unhideWhenUsed/>
    <w:rsid w:val="00AB3022"/>
    <w:pPr>
      <w:spacing w:before="100" w:beforeAutospacing="1" w:after="100" w:afterAutospacing="1"/>
    </w:pPr>
    <w:rPr>
      <w:rFonts w:ascii="Times New Roman" w:eastAsia="Times New Roman" w:hAnsi="Times New Roman" w:cs="Times New Roman"/>
      <w:sz w:val="24"/>
      <w:szCs w:val="24"/>
      <w:lang w:eastAsia="tr-TR"/>
      <w14:ligatures w14:val="none"/>
    </w:rPr>
  </w:style>
  <w:style w:type="character" w:styleId="Gl">
    <w:name w:val="Strong"/>
    <w:basedOn w:val="VarsaylanParagrafYazTipi"/>
    <w:uiPriority w:val="22"/>
    <w:qFormat/>
    <w:rsid w:val="00AB3022"/>
    <w:rPr>
      <w:b/>
      <w:bCs/>
    </w:rPr>
  </w:style>
  <w:style w:type="paragraph" w:customStyle="1" w:styleId="pdq2pgselectionanchorcontainer">
    <w:name w:val="pdq2pg_selectionanchorcontainer"/>
    <w:basedOn w:val="Normal"/>
    <w:uiPriority w:val="99"/>
    <w:rsid w:val="00597C22"/>
    <w:pPr>
      <w:spacing w:before="100" w:beforeAutospacing="1" w:after="100" w:afterAutospacing="1"/>
    </w:pPr>
    <w:rPr>
      <w:rFonts w:ascii="Times New Roman" w:eastAsia="Times New Roman" w:hAnsi="Times New Roman" w:cs="Times New Roman"/>
      <w:sz w:val="24"/>
      <w:szCs w:val="24"/>
      <w:lang w:eastAsia="tr-TR"/>
      <w14:ligatures w14:val="none"/>
    </w:rPr>
  </w:style>
  <w:style w:type="paragraph" w:styleId="Dzeltme">
    <w:name w:val="Revision"/>
    <w:hidden/>
    <w:uiPriority w:val="99"/>
    <w:semiHidden/>
    <w:rsid w:val="00DD25BC"/>
    <w:pPr>
      <w:spacing w:after="0" w:line="240" w:lineRule="auto"/>
    </w:pPr>
    <w:rPr>
      <w:rFonts w:ascii="Aptos" w:hAnsi="Aptos" w:cs="Aptos"/>
      <w:kern w:val="0"/>
      <w:sz w:val="22"/>
      <w:szCs w:val="22"/>
    </w:rPr>
  </w:style>
  <w:style w:type="character" w:styleId="AklamaBavurusu">
    <w:name w:val="annotation reference"/>
    <w:basedOn w:val="VarsaylanParagrafYazTipi"/>
    <w:uiPriority w:val="99"/>
    <w:semiHidden/>
    <w:unhideWhenUsed/>
    <w:rsid w:val="00DD25BC"/>
    <w:rPr>
      <w:sz w:val="16"/>
      <w:szCs w:val="16"/>
    </w:rPr>
  </w:style>
  <w:style w:type="paragraph" w:styleId="AklamaMetni">
    <w:name w:val="annotation text"/>
    <w:basedOn w:val="Normal"/>
    <w:link w:val="AklamaMetniChar"/>
    <w:uiPriority w:val="99"/>
    <w:unhideWhenUsed/>
    <w:rsid w:val="00DD25BC"/>
    <w:rPr>
      <w:sz w:val="20"/>
      <w:szCs w:val="20"/>
    </w:rPr>
  </w:style>
  <w:style w:type="character" w:customStyle="1" w:styleId="AklamaMetniChar">
    <w:name w:val="Açıklama Metni Char"/>
    <w:basedOn w:val="VarsaylanParagrafYazTipi"/>
    <w:link w:val="AklamaMetni"/>
    <w:uiPriority w:val="99"/>
    <w:rsid w:val="00DD25BC"/>
    <w:rPr>
      <w:rFonts w:ascii="Aptos" w:hAnsi="Aptos" w:cs="Aptos"/>
      <w:kern w:val="0"/>
      <w:sz w:val="20"/>
      <w:szCs w:val="20"/>
    </w:rPr>
  </w:style>
  <w:style w:type="paragraph" w:styleId="AklamaKonusu">
    <w:name w:val="annotation subject"/>
    <w:basedOn w:val="AklamaMetni"/>
    <w:next w:val="AklamaMetni"/>
    <w:link w:val="AklamaKonusuChar"/>
    <w:uiPriority w:val="99"/>
    <w:semiHidden/>
    <w:unhideWhenUsed/>
    <w:rsid w:val="00DD25BC"/>
    <w:rPr>
      <w:b/>
      <w:bCs/>
    </w:rPr>
  </w:style>
  <w:style w:type="character" w:customStyle="1" w:styleId="AklamaKonusuChar">
    <w:name w:val="Açıklama Konusu Char"/>
    <w:basedOn w:val="AklamaMetniChar"/>
    <w:link w:val="AklamaKonusu"/>
    <w:uiPriority w:val="99"/>
    <w:semiHidden/>
    <w:rsid w:val="00DD25BC"/>
    <w:rPr>
      <w:rFonts w:ascii="Aptos" w:hAnsi="Aptos" w:cs="Aptos"/>
      <w:b/>
      <w:bCs/>
      <w:kern w:val="0"/>
      <w:sz w:val="20"/>
      <w:szCs w:val="20"/>
    </w:rPr>
  </w:style>
  <w:style w:type="character" w:styleId="Kpr">
    <w:name w:val="Hyperlink"/>
    <w:basedOn w:val="VarsaylanParagrafYazTipi"/>
    <w:uiPriority w:val="99"/>
    <w:unhideWhenUsed/>
    <w:rsid w:val="00842C02"/>
    <w:rPr>
      <w:color w:val="467886" w:themeColor="hyperlink"/>
      <w:u w:val="single"/>
    </w:rPr>
  </w:style>
  <w:style w:type="character" w:styleId="zmlenmeyenBahsetme">
    <w:name w:val="Unresolved Mention"/>
    <w:basedOn w:val="VarsaylanParagrafYazTipi"/>
    <w:uiPriority w:val="99"/>
    <w:semiHidden/>
    <w:unhideWhenUsed/>
    <w:rsid w:val="00842C02"/>
    <w:rPr>
      <w:color w:val="605E5C"/>
      <w:shd w:val="clear" w:color="auto" w:fill="E1DFDD"/>
    </w:rPr>
  </w:style>
  <w:style w:type="paragraph" w:styleId="stBilgi">
    <w:name w:val="header"/>
    <w:basedOn w:val="Normal"/>
    <w:link w:val="stBilgiChar"/>
    <w:uiPriority w:val="99"/>
    <w:unhideWhenUsed/>
    <w:rsid w:val="00EA72FE"/>
    <w:pPr>
      <w:tabs>
        <w:tab w:val="center" w:pos="4536"/>
        <w:tab w:val="right" w:pos="9072"/>
      </w:tabs>
    </w:pPr>
  </w:style>
  <w:style w:type="character" w:customStyle="1" w:styleId="stBilgiChar">
    <w:name w:val="Üst Bilgi Char"/>
    <w:basedOn w:val="VarsaylanParagrafYazTipi"/>
    <w:link w:val="stBilgi"/>
    <w:uiPriority w:val="99"/>
    <w:rsid w:val="00EA72FE"/>
    <w:rPr>
      <w:rFonts w:ascii="Aptos" w:hAnsi="Aptos" w:cs="Aptos"/>
      <w:kern w:val="0"/>
      <w:sz w:val="22"/>
      <w:szCs w:val="22"/>
    </w:rPr>
  </w:style>
  <w:style w:type="paragraph" w:styleId="AltBilgi">
    <w:name w:val="footer"/>
    <w:basedOn w:val="Normal"/>
    <w:link w:val="AltBilgiChar"/>
    <w:uiPriority w:val="99"/>
    <w:unhideWhenUsed/>
    <w:rsid w:val="00EA72FE"/>
    <w:pPr>
      <w:tabs>
        <w:tab w:val="center" w:pos="4536"/>
        <w:tab w:val="right" w:pos="9072"/>
      </w:tabs>
    </w:pPr>
  </w:style>
  <w:style w:type="character" w:customStyle="1" w:styleId="AltBilgiChar">
    <w:name w:val="Alt Bilgi Char"/>
    <w:basedOn w:val="VarsaylanParagrafYazTipi"/>
    <w:link w:val="AltBilgi"/>
    <w:uiPriority w:val="99"/>
    <w:rsid w:val="00EA72FE"/>
    <w:rPr>
      <w:rFonts w:ascii="Aptos" w:hAnsi="Aptos" w:cs="Aptos"/>
      <w:kern w:val="0"/>
      <w:sz w:val="22"/>
      <w:szCs w:val="22"/>
    </w:rPr>
  </w:style>
  <w:style w:type="character" w:styleId="zlenenKpr">
    <w:name w:val="FollowedHyperlink"/>
    <w:basedOn w:val="VarsaylanParagrafYazTipi"/>
    <w:uiPriority w:val="99"/>
    <w:semiHidden/>
    <w:unhideWhenUsed/>
    <w:rsid w:val="00D04F11"/>
    <w:rPr>
      <w:color w:val="96607D" w:themeColor="followedHyperlink"/>
      <w:u w:val="single"/>
    </w:rPr>
  </w:style>
  <w:style w:type="paragraph" w:customStyle="1" w:styleId="pf0">
    <w:name w:val="pf0"/>
    <w:basedOn w:val="Normal"/>
    <w:rsid w:val="008856BF"/>
    <w:pPr>
      <w:spacing w:before="100" w:beforeAutospacing="1" w:after="100" w:afterAutospacing="1"/>
    </w:pPr>
    <w:rPr>
      <w:rFonts w:ascii="Times New Roman" w:eastAsia="Times New Roman" w:hAnsi="Times New Roman" w:cs="Times New Roman"/>
      <w:sz w:val="24"/>
      <w:szCs w:val="24"/>
      <w:lang w:eastAsia="tr-TR"/>
      <w14:ligatures w14:val="none"/>
    </w:rPr>
  </w:style>
  <w:style w:type="character" w:customStyle="1" w:styleId="cf01">
    <w:name w:val="cf01"/>
    <w:basedOn w:val="VarsaylanParagrafYazTipi"/>
    <w:rsid w:val="008856BF"/>
    <w:rPr>
      <w:rFonts w:ascii="Segoe UI" w:hAnsi="Segoe UI" w:cs="Segoe UI" w:hint="default"/>
      <w:sz w:val="18"/>
      <w:szCs w:val="18"/>
    </w:rPr>
  </w:style>
  <w:style w:type="character" w:customStyle="1" w:styleId="cf11">
    <w:name w:val="cf11"/>
    <w:basedOn w:val="VarsaylanParagrafYazTipi"/>
    <w:rsid w:val="008856BF"/>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984954">
      <w:bodyDiv w:val="1"/>
      <w:marLeft w:val="0"/>
      <w:marRight w:val="0"/>
      <w:marTop w:val="0"/>
      <w:marBottom w:val="0"/>
      <w:divBdr>
        <w:top w:val="none" w:sz="0" w:space="0" w:color="auto"/>
        <w:left w:val="none" w:sz="0" w:space="0" w:color="auto"/>
        <w:bottom w:val="none" w:sz="0" w:space="0" w:color="auto"/>
        <w:right w:val="none" w:sz="0" w:space="0" w:color="auto"/>
      </w:divBdr>
    </w:div>
    <w:div w:id="918516170">
      <w:bodyDiv w:val="1"/>
      <w:marLeft w:val="0"/>
      <w:marRight w:val="0"/>
      <w:marTop w:val="0"/>
      <w:marBottom w:val="0"/>
      <w:divBdr>
        <w:top w:val="none" w:sz="0" w:space="0" w:color="auto"/>
        <w:left w:val="none" w:sz="0" w:space="0" w:color="auto"/>
        <w:bottom w:val="none" w:sz="0" w:space="0" w:color="auto"/>
        <w:right w:val="none" w:sz="0" w:space="0" w:color="auto"/>
      </w:divBdr>
    </w:div>
    <w:div w:id="989408530">
      <w:bodyDiv w:val="1"/>
      <w:marLeft w:val="0"/>
      <w:marRight w:val="0"/>
      <w:marTop w:val="0"/>
      <w:marBottom w:val="0"/>
      <w:divBdr>
        <w:top w:val="none" w:sz="0" w:space="0" w:color="auto"/>
        <w:left w:val="none" w:sz="0" w:space="0" w:color="auto"/>
        <w:bottom w:val="none" w:sz="0" w:space="0" w:color="auto"/>
        <w:right w:val="none" w:sz="0" w:space="0" w:color="auto"/>
      </w:divBdr>
    </w:div>
    <w:div w:id="1236863167">
      <w:bodyDiv w:val="1"/>
      <w:marLeft w:val="0"/>
      <w:marRight w:val="0"/>
      <w:marTop w:val="0"/>
      <w:marBottom w:val="0"/>
      <w:divBdr>
        <w:top w:val="none" w:sz="0" w:space="0" w:color="auto"/>
        <w:left w:val="none" w:sz="0" w:space="0" w:color="auto"/>
        <w:bottom w:val="none" w:sz="0" w:space="0" w:color="auto"/>
        <w:right w:val="none" w:sz="0" w:space="0" w:color="auto"/>
      </w:divBdr>
    </w:div>
    <w:div w:id="1474370712">
      <w:bodyDiv w:val="1"/>
      <w:marLeft w:val="0"/>
      <w:marRight w:val="0"/>
      <w:marTop w:val="0"/>
      <w:marBottom w:val="0"/>
      <w:divBdr>
        <w:top w:val="none" w:sz="0" w:space="0" w:color="auto"/>
        <w:left w:val="none" w:sz="0" w:space="0" w:color="auto"/>
        <w:bottom w:val="none" w:sz="0" w:space="0" w:color="auto"/>
        <w:right w:val="none" w:sz="0" w:space="0" w:color="auto"/>
      </w:divBdr>
    </w:div>
    <w:div w:id="1556893729">
      <w:bodyDiv w:val="1"/>
      <w:marLeft w:val="0"/>
      <w:marRight w:val="0"/>
      <w:marTop w:val="0"/>
      <w:marBottom w:val="0"/>
      <w:divBdr>
        <w:top w:val="none" w:sz="0" w:space="0" w:color="auto"/>
        <w:left w:val="none" w:sz="0" w:space="0" w:color="auto"/>
        <w:bottom w:val="none" w:sz="0" w:space="0" w:color="auto"/>
        <w:right w:val="none" w:sz="0" w:space="0" w:color="auto"/>
      </w:divBdr>
    </w:div>
    <w:div w:id="1605260507">
      <w:bodyDiv w:val="1"/>
      <w:marLeft w:val="0"/>
      <w:marRight w:val="0"/>
      <w:marTop w:val="0"/>
      <w:marBottom w:val="0"/>
      <w:divBdr>
        <w:top w:val="none" w:sz="0" w:space="0" w:color="auto"/>
        <w:left w:val="none" w:sz="0" w:space="0" w:color="auto"/>
        <w:bottom w:val="none" w:sz="0" w:space="0" w:color="auto"/>
        <w:right w:val="none" w:sz="0" w:space="0" w:color="auto"/>
      </w:divBdr>
    </w:div>
    <w:div w:id="1783304990">
      <w:bodyDiv w:val="1"/>
      <w:marLeft w:val="0"/>
      <w:marRight w:val="0"/>
      <w:marTop w:val="0"/>
      <w:marBottom w:val="0"/>
      <w:divBdr>
        <w:top w:val="none" w:sz="0" w:space="0" w:color="auto"/>
        <w:left w:val="none" w:sz="0" w:space="0" w:color="auto"/>
        <w:bottom w:val="none" w:sz="0" w:space="0" w:color="auto"/>
        <w:right w:val="none" w:sz="0" w:space="0" w:color="auto"/>
      </w:divBdr>
    </w:div>
    <w:div w:id="1835680359">
      <w:bodyDiv w:val="1"/>
      <w:marLeft w:val="0"/>
      <w:marRight w:val="0"/>
      <w:marTop w:val="0"/>
      <w:marBottom w:val="0"/>
      <w:divBdr>
        <w:top w:val="none" w:sz="0" w:space="0" w:color="auto"/>
        <w:left w:val="none" w:sz="0" w:space="0" w:color="auto"/>
        <w:bottom w:val="none" w:sz="0" w:space="0" w:color="auto"/>
        <w:right w:val="none" w:sz="0" w:space="0" w:color="auto"/>
      </w:divBdr>
    </w:div>
    <w:div w:id="198674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fb72eb3a-02ac-41d7-84c1-db75d3932fd7</TitusGUID>
  <TitusMetadata xmlns="">eyJucyI6Imh0dHBzOlwvXC93d3cuYXlkZW1lbmVyamkuY29tLnRyXC8iLCJwcm9wcyI6W3sibiI6IkNsYXNzaWZpY2F0aW9uIiwidmFscyI6W3sidmFsdWUiOiJITzQwODJiYWVlODVhOGIzY2UyNjNlIn1dfSx7Im4iOiJLVktLIiwidmFscyI6W3sidmFsdWUiOiJLWTRiODk5NGM0MmMwZDVmZTY5NTNlIn1dfV19</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633BC-35DC-4A32-9D8F-36AD2ECBC191}">
  <ds:schemaRefs>
    <ds:schemaRef ds:uri="http://schemas.titus.com/TitusProperties/"/>
    <ds:schemaRef ds:uri=""/>
  </ds:schemaRefs>
</ds:datastoreItem>
</file>

<file path=customXml/itemProps2.xml><?xml version="1.0" encoding="utf-8"?>
<ds:datastoreItem xmlns:ds="http://schemas.openxmlformats.org/officeDocument/2006/customXml" ds:itemID="{E379904D-0318-4D9A-8158-DE7585BD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1432</Words>
  <Characters>8169</Characters>
  <Application>Microsoft Office Word</Application>
  <DocSecurity>0</DocSecurity>
  <Lines>68</Lines>
  <Paragraphs>19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Fadime Bazzal</dc:creator>
  <cp:keywords>Hizmete Özel, Kişisel Veri İçermez</cp:keywords>
  <dc:description/>
  <cp:lastModifiedBy>İpek  Eren</cp:lastModifiedBy>
  <cp:revision>4</cp:revision>
  <dcterms:created xsi:type="dcterms:W3CDTF">2026-08-27T14:13:00Z</dcterms:created>
  <dcterms:modified xsi:type="dcterms:W3CDTF">2026-09-11T08:59:00Z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fb72eb3a-02ac-41d7-84c1-db75d3932fd7</vt:lpwstr>
  </property>
  <property fmtid="{D5CDD505-2E9C-101B-9397-08002B2CF9AE}" pid="3" name="ClassifierUsername">
    <vt:lpwstr>Esra KARADENİZ </vt:lpwstr>
  </property>
  <property fmtid="{D5CDD505-2E9C-101B-9397-08002B2CF9AE}" pid="4" name="ClassifiedDateTime">
    <vt:lpwstr>29.07.2026_17:08</vt:lpwstr>
  </property>
  <property fmtid="{D5CDD505-2E9C-101B-9397-08002B2CF9AE}" pid="5" name="Classification">
    <vt:lpwstr>HO4082baee85a8b3ce263e</vt:lpwstr>
  </property>
  <property fmtid="{D5CDD505-2E9C-101B-9397-08002B2CF9AE}" pid="6" name="KVKK">
    <vt:lpwstr>KY4b8994c42c0d5fe6953e</vt:lpwstr>
  </property>
  <property fmtid="{D5CDD505-2E9C-101B-9397-08002B2CF9AE}" pid="7" name="Retention">
    <vt:lpwstr>2036-08-25</vt:lpwstr>
  </property>
</Properties>
</file>